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908" w:type="dxa"/>
        <w:tblInd w:w="0" w:type="dxa"/>
        <w:tblLook w:val="00BF"/>
      </w:tblPr>
      <w:tblGrid>
        <w:gridCol w:w="2727"/>
        <w:gridCol w:w="909"/>
        <w:gridCol w:w="1818"/>
        <w:gridCol w:w="1818"/>
        <w:gridCol w:w="909"/>
        <w:gridCol w:w="2727"/>
      </w:tblGrid>
      <w:tr w:rsidR="00706450" w:rsidTr="00070D0A">
        <w:trPr>
          <w:trHeight w:val="440"/>
        </w:trPr>
        <w:tc>
          <w:tcPr>
            <w:tcW w:w="10908" w:type="dxa"/>
            <w:gridSpan w:val="6"/>
          </w:tcPr>
          <w:p w:rsidR="00706450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706450">
              <w:rPr>
                <w:rFonts w:ascii="Arial Narrow" w:hAnsi="Arial Narrow" w:cs="Arial Narrow"/>
                <w:b/>
                <w:bCs/>
                <w:sz w:val="24"/>
                <w:szCs w:val="24"/>
                <w:u w:val="single"/>
              </w:rPr>
              <w:t>Cell Theory Historical Timeline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– answer each question below.</w:t>
            </w:r>
          </w:p>
          <w:p w:rsidR="00C23CE4" w:rsidRPr="00B422A1" w:rsidRDefault="00C23CE4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706450" w:rsidTr="00070D0A">
        <w:trPr>
          <w:trHeight w:val="2510"/>
        </w:trPr>
        <w:tc>
          <w:tcPr>
            <w:tcW w:w="3636" w:type="dxa"/>
            <w:gridSpan w:val="2"/>
          </w:tcPr>
          <w:p w:rsidR="00706450" w:rsidRPr="00B422A1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What instrument was necessary before the cell theory could be developed?</w:t>
            </w:r>
          </w:p>
        </w:tc>
        <w:tc>
          <w:tcPr>
            <w:tcW w:w="3636" w:type="dxa"/>
            <w:gridSpan w:val="2"/>
          </w:tcPr>
          <w:p w:rsidR="00706450" w:rsidRPr="00B422A1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Which three scientists directly contributed evidence for the cell theory?</w:t>
            </w:r>
          </w:p>
        </w:tc>
        <w:tc>
          <w:tcPr>
            <w:tcW w:w="3636" w:type="dxa"/>
            <w:gridSpan w:val="2"/>
          </w:tcPr>
          <w:p w:rsidR="00706450" w:rsidRPr="00B422A1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How did the earlier scientists and their contributions directly affect the discoveries of later scientists?</w:t>
            </w:r>
          </w:p>
        </w:tc>
      </w:tr>
      <w:tr w:rsidR="00706450" w:rsidTr="00070D0A">
        <w:trPr>
          <w:trHeight w:val="2321"/>
        </w:trPr>
        <w:tc>
          <w:tcPr>
            <w:tcW w:w="3636" w:type="dxa"/>
            <w:gridSpan w:val="2"/>
          </w:tcPr>
          <w:p w:rsidR="00706450" w:rsidRPr="00B422A1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Part 1 of the Cell Theory.</w:t>
            </w:r>
          </w:p>
        </w:tc>
        <w:tc>
          <w:tcPr>
            <w:tcW w:w="3636" w:type="dxa"/>
            <w:gridSpan w:val="2"/>
          </w:tcPr>
          <w:p w:rsidR="00706450" w:rsidRPr="00B422A1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Part 2 of the Cell Theory.</w:t>
            </w:r>
          </w:p>
        </w:tc>
        <w:tc>
          <w:tcPr>
            <w:tcW w:w="3636" w:type="dxa"/>
            <w:gridSpan w:val="2"/>
          </w:tcPr>
          <w:p w:rsidR="00706450" w:rsidRPr="00B422A1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Part 3 of the Cell Theory.</w:t>
            </w:r>
          </w:p>
        </w:tc>
      </w:tr>
      <w:tr w:rsidR="00706450" w:rsidTr="00070D0A">
        <w:trPr>
          <w:trHeight w:val="449"/>
        </w:trPr>
        <w:tc>
          <w:tcPr>
            <w:tcW w:w="10908" w:type="dxa"/>
            <w:gridSpan w:val="6"/>
          </w:tcPr>
          <w:p w:rsidR="00706450" w:rsidRDefault="00706450" w:rsidP="00706450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706450">
              <w:rPr>
                <w:rFonts w:ascii="Arial Narrow" w:hAnsi="Arial Narrow" w:cs="Arial Narrow"/>
                <w:b/>
                <w:bCs/>
                <w:sz w:val="24"/>
                <w:szCs w:val="24"/>
                <w:u w:val="single"/>
              </w:rPr>
              <w:t>Structure, Function, and Processes within Animal Cells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– for each part of the animal cell below, describe the function and what processes that organelle might contribute to or control.</w:t>
            </w:r>
          </w:p>
          <w:p w:rsidR="00706450" w:rsidRDefault="00706450" w:rsidP="00706450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(</w:t>
            </w:r>
            <w:hyperlink r:id="rId4" w:history="1">
              <w:r w:rsidRPr="00522787">
                <w:rPr>
                  <w:rStyle w:val="Hyperlink"/>
                  <w:rFonts w:ascii="Arial Narrow" w:hAnsi="Arial Narrow" w:cs="Arial Narrow"/>
                  <w:b/>
                  <w:bCs/>
                  <w:sz w:val="24"/>
                  <w:szCs w:val="24"/>
                </w:rPr>
                <w:t>www.cellsalive.com</w:t>
              </w:r>
            </w:hyperlink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– Eukaryotic Cell Interactive Animation)</w:t>
            </w:r>
          </w:p>
          <w:p w:rsidR="00C23CE4" w:rsidRPr="00B422A1" w:rsidRDefault="00C23CE4" w:rsidP="00706450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706450" w:rsidTr="00070D0A">
        <w:trPr>
          <w:trHeight w:val="2123"/>
        </w:trPr>
        <w:tc>
          <w:tcPr>
            <w:tcW w:w="3636" w:type="dxa"/>
            <w:gridSpan w:val="2"/>
          </w:tcPr>
          <w:p w:rsidR="00706450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proofErr w:type="spellStart"/>
            <w:r w:rsidRPr="00B422A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Centriole</w:t>
            </w:r>
            <w:proofErr w:type="spellEnd"/>
          </w:p>
        </w:tc>
        <w:tc>
          <w:tcPr>
            <w:tcW w:w="3636" w:type="dxa"/>
            <w:gridSpan w:val="2"/>
          </w:tcPr>
          <w:p w:rsidR="00706450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proofErr w:type="spellStart"/>
            <w:r w:rsidRPr="00B422A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Lysosomes</w:t>
            </w:r>
            <w:proofErr w:type="spellEnd"/>
          </w:p>
        </w:tc>
        <w:tc>
          <w:tcPr>
            <w:tcW w:w="3636" w:type="dxa"/>
            <w:gridSpan w:val="2"/>
          </w:tcPr>
          <w:p w:rsidR="00706450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Vacuole</w:t>
            </w:r>
          </w:p>
        </w:tc>
      </w:tr>
      <w:tr w:rsidR="00706450" w:rsidTr="00070D0A">
        <w:trPr>
          <w:trHeight w:val="2159"/>
        </w:trPr>
        <w:tc>
          <w:tcPr>
            <w:tcW w:w="3636" w:type="dxa"/>
            <w:gridSpan w:val="2"/>
          </w:tcPr>
          <w:p w:rsidR="00706450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B422A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Mitochondrion</w:t>
            </w:r>
          </w:p>
        </w:tc>
        <w:tc>
          <w:tcPr>
            <w:tcW w:w="3636" w:type="dxa"/>
            <w:gridSpan w:val="2"/>
          </w:tcPr>
          <w:p w:rsidR="00706450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B422A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Endoplasmic Reticulum (ER)</w:t>
            </w:r>
          </w:p>
          <w:p w:rsidR="00706450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(Rough and Smooth)</w:t>
            </w:r>
          </w:p>
        </w:tc>
        <w:tc>
          <w:tcPr>
            <w:tcW w:w="3636" w:type="dxa"/>
            <w:gridSpan w:val="2"/>
          </w:tcPr>
          <w:p w:rsidR="00706450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Cytoskeleton</w:t>
            </w:r>
          </w:p>
        </w:tc>
      </w:tr>
      <w:tr w:rsidR="00706450" w:rsidTr="00070D0A">
        <w:trPr>
          <w:trHeight w:val="1967"/>
        </w:trPr>
        <w:tc>
          <w:tcPr>
            <w:tcW w:w="3636" w:type="dxa"/>
            <w:gridSpan w:val="2"/>
          </w:tcPr>
          <w:p w:rsidR="00706450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B422A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Cell Membrane</w:t>
            </w:r>
          </w:p>
        </w:tc>
        <w:tc>
          <w:tcPr>
            <w:tcW w:w="3636" w:type="dxa"/>
            <w:gridSpan w:val="2"/>
          </w:tcPr>
          <w:p w:rsidR="00706450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Nucleus / </w:t>
            </w:r>
            <w:r w:rsidRPr="00B422A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Nucleolus</w:t>
            </w:r>
          </w:p>
        </w:tc>
        <w:tc>
          <w:tcPr>
            <w:tcW w:w="3636" w:type="dxa"/>
            <w:gridSpan w:val="2"/>
          </w:tcPr>
          <w:p w:rsidR="00706450" w:rsidRDefault="00706450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B422A1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Golgi Body</w:t>
            </w:r>
          </w:p>
        </w:tc>
      </w:tr>
      <w:tr w:rsidR="00070D0A" w:rsidTr="00070D0A">
        <w:trPr>
          <w:trHeight w:val="530"/>
        </w:trPr>
        <w:tc>
          <w:tcPr>
            <w:tcW w:w="10908" w:type="dxa"/>
            <w:gridSpan w:val="6"/>
          </w:tcPr>
          <w:p w:rsidR="00070D0A" w:rsidRPr="00C23CE4" w:rsidRDefault="00070D0A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u w:val="single"/>
              </w:rPr>
              <w:t>Cell Drawing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– using a separate sheet of paper, draw a picture of </w:t>
            </w:r>
            <w:proofErr w:type="gramStart"/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an</w:t>
            </w:r>
            <w:proofErr w:type="gramEnd"/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eukaryotic cell (animal cell) and a prokaryotic cell (bacterial cell) and label the most important parts.  Circle the parts that both types of cells have in common.</w:t>
            </w:r>
            <w:r w:rsidR="00C23CE4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You can use your textbook (page 469) or the diagram provided.</w:t>
            </w:r>
          </w:p>
          <w:p w:rsidR="00070D0A" w:rsidRDefault="00070D0A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  <w:u w:val="single"/>
              </w:rPr>
            </w:pPr>
          </w:p>
        </w:tc>
      </w:tr>
      <w:tr w:rsidR="007A7D7E" w:rsidTr="00070D0A">
        <w:trPr>
          <w:trHeight w:val="530"/>
        </w:trPr>
        <w:tc>
          <w:tcPr>
            <w:tcW w:w="10908" w:type="dxa"/>
            <w:gridSpan w:val="6"/>
          </w:tcPr>
          <w:p w:rsidR="007A7D7E" w:rsidRDefault="007A7D7E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u w:val="single"/>
              </w:rPr>
              <w:lastRenderedPageBreak/>
              <w:t>Life Functions of Protists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– using the Buckle Down EOG Review Book, read the section on Protists on pages 101-103 and insert information below.</w:t>
            </w:r>
          </w:p>
          <w:p w:rsidR="00C23CE4" w:rsidRPr="007A7D7E" w:rsidRDefault="00C23CE4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7A7D7E" w:rsidTr="00C23CE4">
        <w:trPr>
          <w:trHeight w:val="1967"/>
        </w:trPr>
        <w:tc>
          <w:tcPr>
            <w:tcW w:w="2727" w:type="dxa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Amoeba</w:t>
            </w:r>
          </w:p>
          <w:p w:rsidR="007A7D7E" w:rsidRPr="00B422A1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Method of Locomotion</w:t>
            </w:r>
          </w:p>
        </w:tc>
        <w:tc>
          <w:tcPr>
            <w:tcW w:w="2727" w:type="dxa"/>
            <w:gridSpan w:val="2"/>
          </w:tcPr>
          <w:p w:rsidR="007A7D7E" w:rsidRDefault="007A7D7E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Amoeba</w:t>
            </w:r>
          </w:p>
          <w:p w:rsidR="007A7D7E" w:rsidRPr="00B422A1" w:rsidRDefault="007A7D7E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Method of Getting Food</w:t>
            </w:r>
          </w:p>
        </w:tc>
        <w:tc>
          <w:tcPr>
            <w:tcW w:w="2727" w:type="dxa"/>
            <w:gridSpan w:val="2"/>
          </w:tcPr>
          <w:p w:rsidR="007A7D7E" w:rsidRDefault="007A7D7E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Amoeba</w:t>
            </w:r>
          </w:p>
          <w:p w:rsidR="007A7D7E" w:rsidRPr="00B422A1" w:rsidRDefault="007A7D7E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Type of Reproduction</w:t>
            </w:r>
          </w:p>
        </w:tc>
        <w:tc>
          <w:tcPr>
            <w:tcW w:w="2727" w:type="dxa"/>
          </w:tcPr>
          <w:p w:rsidR="007A7D7E" w:rsidRDefault="007A7D7E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Amoeba</w:t>
            </w:r>
          </w:p>
          <w:p w:rsidR="007A7D7E" w:rsidRPr="00B422A1" w:rsidRDefault="007A7D7E" w:rsidP="008634BB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Unique Quality</w:t>
            </w:r>
          </w:p>
        </w:tc>
      </w:tr>
      <w:tr w:rsidR="007A7D7E" w:rsidTr="00C23CE4">
        <w:trPr>
          <w:trHeight w:val="1967"/>
        </w:trPr>
        <w:tc>
          <w:tcPr>
            <w:tcW w:w="2727" w:type="dxa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Euglena</w:t>
            </w:r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Method of Locomotion</w:t>
            </w:r>
          </w:p>
        </w:tc>
        <w:tc>
          <w:tcPr>
            <w:tcW w:w="2727" w:type="dxa"/>
            <w:gridSpan w:val="2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Euglena</w:t>
            </w:r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Method of Getting Food</w:t>
            </w:r>
          </w:p>
        </w:tc>
        <w:tc>
          <w:tcPr>
            <w:tcW w:w="2727" w:type="dxa"/>
            <w:gridSpan w:val="2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Euglena</w:t>
            </w:r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Type of Reproduction</w:t>
            </w:r>
          </w:p>
        </w:tc>
        <w:tc>
          <w:tcPr>
            <w:tcW w:w="2727" w:type="dxa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Euglena</w:t>
            </w:r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Unique Quality</w:t>
            </w:r>
          </w:p>
        </w:tc>
      </w:tr>
      <w:tr w:rsidR="007A7D7E" w:rsidTr="00C23CE4">
        <w:trPr>
          <w:trHeight w:val="1967"/>
        </w:trPr>
        <w:tc>
          <w:tcPr>
            <w:tcW w:w="2727" w:type="dxa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Volvox</w:t>
            </w:r>
            <w:proofErr w:type="spellEnd"/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Method of Locomotion</w:t>
            </w:r>
          </w:p>
        </w:tc>
        <w:tc>
          <w:tcPr>
            <w:tcW w:w="2727" w:type="dxa"/>
            <w:gridSpan w:val="2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Volvox</w:t>
            </w:r>
            <w:proofErr w:type="spellEnd"/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Method of Getting Food</w:t>
            </w:r>
          </w:p>
        </w:tc>
        <w:tc>
          <w:tcPr>
            <w:tcW w:w="2727" w:type="dxa"/>
            <w:gridSpan w:val="2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Volvox</w:t>
            </w:r>
            <w:proofErr w:type="spellEnd"/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Type of Reproduction</w:t>
            </w:r>
          </w:p>
        </w:tc>
        <w:tc>
          <w:tcPr>
            <w:tcW w:w="2727" w:type="dxa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Volvox</w:t>
            </w:r>
            <w:proofErr w:type="spellEnd"/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Unique Quality</w:t>
            </w:r>
          </w:p>
        </w:tc>
      </w:tr>
      <w:tr w:rsidR="007A7D7E" w:rsidTr="00C23CE4">
        <w:trPr>
          <w:trHeight w:val="1967"/>
        </w:trPr>
        <w:tc>
          <w:tcPr>
            <w:tcW w:w="2727" w:type="dxa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Paramecium</w:t>
            </w:r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Method of Locomotion</w:t>
            </w:r>
          </w:p>
        </w:tc>
        <w:tc>
          <w:tcPr>
            <w:tcW w:w="2727" w:type="dxa"/>
            <w:gridSpan w:val="2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Paramecium</w:t>
            </w:r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Method of Getting Food</w:t>
            </w:r>
          </w:p>
        </w:tc>
        <w:tc>
          <w:tcPr>
            <w:tcW w:w="2727" w:type="dxa"/>
            <w:gridSpan w:val="2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Paramecium</w:t>
            </w:r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Type of Reproduction</w:t>
            </w:r>
          </w:p>
        </w:tc>
        <w:tc>
          <w:tcPr>
            <w:tcW w:w="2727" w:type="dxa"/>
          </w:tcPr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Paramecium</w:t>
            </w:r>
          </w:p>
          <w:p w:rsidR="007A7D7E" w:rsidRDefault="007A7D7E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Unique Quality</w:t>
            </w:r>
          </w:p>
        </w:tc>
      </w:tr>
      <w:tr w:rsidR="003F709A" w:rsidTr="00070D0A">
        <w:trPr>
          <w:trHeight w:val="521"/>
        </w:trPr>
        <w:tc>
          <w:tcPr>
            <w:tcW w:w="10908" w:type="dxa"/>
            <w:gridSpan w:val="6"/>
          </w:tcPr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u w:val="single"/>
              </w:rPr>
              <w:t>Complex Chemical Processes in Animal Cells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– for each statement below, identify and define at least two processes that occur in the cell that contributes to the activity described in the statement.  Use the Coach Grade 8 EOG Review Book</w:t>
            </w:r>
            <w:r w:rsidR="00070D0A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, pages 295-302.</w:t>
            </w:r>
          </w:p>
          <w:p w:rsidR="00C23CE4" w:rsidRPr="003F709A" w:rsidRDefault="00C23CE4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3F709A" w:rsidTr="00C23CE4">
        <w:trPr>
          <w:trHeight w:val="1967"/>
        </w:trPr>
        <w:tc>
          <w:tcPr>
            <w:tcW w:w="3636" w:type="dxa"/>
            <w:gridSpan w:val="2"/>
          </w:tcPr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Cells grow and divide to produce more cells.</w:t>
            </w: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1.</w:t>
            </w: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2.</w:t>
            </w: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3636" w:type="dxa"/>
            <w:gridSpan w:val="2"/>
          </w:tcPr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Cells take in nutrients to make the energy for the work cells do.</w:t>
            </w: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1.</w:t>
            </w: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2.</w:t>
            </w: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3636" w:type="dxa"/>
            <w:gridSpan w:val="2"/>
          </w:tcPr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Cells take in materials that a cell or an organism needs to survive.</w:t>
            </w: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1.</w:t>
            </w: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2.</w:t>
            </w: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  <w:p w:rsidR="003F709A" w:rsidRDefault="003F709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070D0A" w:rsidTr="00070D0A">
        <w:trPr>
          <w:trHeight w:val="620"/>
        </w:trPr>
        <w:tc>
          <w:tcPr>
            <w:tcW w:w="10908" w:type="dxa"/>
            <w:gridSpan w:val="6"/>
          </w:tcPr>
          <w:p w:rsidR="00070D0A" w:rsidRDefault="00070D0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szCs w:val="24"/>
                <w:u w:val="single"/>
              </w:rPr>
              <w:t>EOG Review Questions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</w:t>
            </w:r>
            <w:r w:rsidR="00C23CE4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–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 </w:t>
            </w:r>
            <w:r w:rsidR="00C23CE4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answer the EOG review questions and identify where you can find the answer to each question.</w:t>
            </w:r>
          </w:p>
          <w:p w:rsidR="00070D0A" w:rsidRDefault="00070D0A" w:rsidP="007A7D7E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:rsidR="00370BDF" w:rsidRDefault="009C3353"/>
    <w:sectPr w:rsidR="00370BDF" w:rsidSect="00070D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706450"/>
    <w:rsid w:val="00012258"/>
    <w:rsid w:val="00070D0A"/>
    <w:rsid w:val="003F709A"/>
    <w:rsid w:val="00706450"/>
    <w:rsid w:val="007A7D7E"/>
    <w:rsid w:val="009C10AA"/>
    <w:rsid w:val="009C3353"/>
    <w:rsid w:val="009C774C"/>
    <w:rsid w:val="00C2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06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064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ellsal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Gaston County Schools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2</cp:revision>
  <cp:lastPrinted>2009-03-17T18:05:00Z</cp:lastPrinted>
  <dcterms:created xsi:type="dcterms:W3CDTF">2009-03-17T18:23:00Z</dcterms:created>
  <dcterms:modified xsi:type="dcterms:W3CDTF">2009-03-17T18:23:00Z</dcterms:modified>
</cp:coreProperties>
</file>